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ade"/>
        <w:tblpPr w:leftFromText="141" w:rightFromText="141" w:vertAnchor="text" w:horzAnchor="margin" w:tblpXSpec="center" w:tblpY="-1371"/>
        <w:tblW w:w="11667" w:type="dxa"/>
        <w:tblLook w:val="04A0" w:firstRow="1" w:lastRow="0" w:firstColumn="1" w:lastColumn="0" w:noHBand="0" w:noVBand="1"/>
      </w:tblPr>
      <w:tblGrid>
        <w:gridCol w:w="624"/>
        <w:gridCol w:w="3907"/>
        <w:gridCol w:w="3297"/>
        <w:gridCol w:w="3839"/>
      </w:tblGrid>
      <w:tr w:rsidR="006D051A" w:rsidRPr="00B813F2" w14:paraId="3BE52698" w14:textId="77777777" w:rsidTr="000F7888">
        <w:trPr>
          <w:cantSplit/>
          <w:trHeight w:val="444"/>
        </w:trPr>
        <w:tc>
          <w:tcPr>
            <w:tcW w:w="624" w:type="dxa"/>
            <w:textDirection w:val="btLr"/>
          </w:tcPr>
          <w:p w14:paraId="647C23EF" w14:textId="77777777" w:rsidR="006D051A" w:rsidRPr="00B813F2" w:rsidRDefault="006D051A" w:rsidP="00126050">
            <w:pPr>
              <w:ind w:left="113" w:right="113"/>
              <w:jc w:val="center"/>
              <w:rPr>
                <w:b/>
                <w:bCs/>
                <w:sz w:val="14"/>
                <w:szCs w:val="14"/>
              </w:rPr>
            </w:pPr>
          </w:p>
        </w:tc>
        <w:tc>
          <w:tcPr>
            <w:tcW w:w="3907" w:type="dxa"/>
          </w:tcPr>
          <w:p w14:paraId="61B6F661" w14:textId="2184D21A" w:rsidR="006D051A" w:rsidRPr="00B813F2" w:rsidRDefault="00FA68E3" w:rsidP="00126050">
            <w:pPr>
              <w:tabs>
                <w:tab w:val="left" w:pos="2912"/>
              </w:tabs>
              <w:rPr>
                <w:b/>
                <w:bCs/>
                <w:sz w:val="14"/>
                <w:szCs w:val="14"/>
              </w:rPr>
            </w:pPr>
            <w:r>
              <w:rPr>
                <w:b/>
                <w:bCs/>
                <w:sz w:val="14"/>
                <w:szCs w:val="14"/>
              </w:rPr>
              <w:t xml:space="preserve">TINTA ACRÍLICA DELTA </w:t>
            </w:r>
            <w:r w:rsidR="006D051A" w:rsidRPr="00B813F2">
              <w:rPr>
                <w:b/>
                <w:bCs/>
                <w:sz w:val="14"/>
                <w:szCs w:val="14"/>
              </w:rPr>
              <w:t>BRILVIL</w:t>
            </w:r>
            <w:r w:rsidR="006D051A" w:rsidRPr="00B813F2">
              <w:rPr>
                <mc:AlternateContent>
                  <mc:Choice Requires="w16se"/>
                  <mc:Fallback>
                    <w:rFonts w:ascii="Segoe UI Emoji" w:eastAsia="Segoe UI Emoji" w:hAnsi="Segoe UI Emoji" w:cs="Segoe UI Emoji"/>
                  </mc:Fallback>
                </mc:AlternateContent>
                <w:b/>
                <w:bCs/>
                <w:sz w:val="14"/>
                <w:szCs w:val="14"/>
              </w:rPr>
              <mc:AlternateContent>
                <mc:Choice Requires="w16se">
                  <w16se:symEx w16se:font="Segoe UI Emoji" w16se:char="00AE"/>
                </mc:Choice>
                <mc:Fallback>
                  <w:t>®</w:t>
                </mc:Fallback>
              </mc:AlternateContent>
            </w:r>
            <w:r>
              <w:rPr>
                <w:b/>
                <w:bCs/>
                <w:sz w:val="14"/>
                <w:szCs w:val="14"/>
              </w:rPr>
              <w:t xml:space="preserve"> RENDE MAIS</w:t>
            </w:r>
          </w:p>
        </w:tc>
        <w:tc>
          <w:tcPr>
            <w:tcW w:w="3297" w:type="dxa"/>
          </w:tcPr>
          <w:p w14:paraId="01C0044B" w14:textId="77777777" w:rsidR="006D051A" w:rsidRPr="00B813F2" w:rsidRDefault="006D051A" w:rsidP="00126050">
            <w:pPr>
              <w:rPr>
                <w:b/>
                <w:bCs/>
                <w:sz w:val="14"/>
                <w:szCs w:val="14"/>
              </w:rPr>
            </w:pPr>
          </w:p>
        </w:tc>
        <w:tc>
          <w:tcPr>
            <w:tcW w:w="3839" w:type="dxa"/>
          </w:tcPr>
          <w:p w14:paraId="1DEA2DA0" w14:textId="77777777" w:rsidR="006D051A" w:rsidRPr="00B813F2" w:rsidRDefault="006D051A" w:rsidP="00126050">
            <w:pPr>
              <w:rPr>
                <w:b/>
                <w:bCs/>
                <w:sz w:val="14"/>
                <w:szCs w:val="14"/>
              </w:rPr>
            </w:pPr>
          </w:p>
        </w:tc>
      </w:tr>
      <w:tr w:rsidR="006D051A" w:rsidRPr="00B813F2" w14:paraId="3E9A0CDF" w14:textId="77777777" w:rsidTr="000F7888">
        <w:trPr>
          <w:cantSplit/>
          <w:trHeight w:val="934"/>
        </w:trPr>
        <w:tc>
          <w:tcPr>
            <w:tcW w:w="624" w:type="dxa"/>
            <w:textDirection w:val="btLr"/>
          </w:tcPr>
          <w:p w14:paraId="61067C65" w14:textId="77777777" w:rsidR="006D051A" w:rsidRPr="000F7888" w:rsidRDefault="006D051A" w:rsidP="00126050">
            <w:pPr>
              <w:ind w:left="113" w:right="113"/>
              <w:jc w:val="center"/>
              <w:rPr>
                <w:b/>
                <w:bCs/>
                <w:sz w:val="20"/>
                <w:szCs w:val="20"/>
              </w:rPr>
            </w:pPr>
            <w:r w:rsidRPr="000F7888">
              <w:rPr>
                <w:b/>
                <w:bCs/>
                <w:sz w:val="20"/>
                <w:szCs w:val="20"/>
              </w:rPr>
              <w:t>DESCRIÇÃO</w:t>
            </w:r>
          </w:p>
          <w:p w14:paraId="50DF0D1A" w14:textId="77777777" w:rsidR="006D051A" w:rsidRPr="000F7888" w:rsidRDefault="006D051A" w:rsidP="00126050">
            <w:pPr>
              <w:ind w:left="113" w:right="113"/>
              <w:jc w:val="center"/>
              <w:rPr>
                <w:b/>
                <w:bCs/>
                <w:sz w:val="20"/>
                <w:szCs w:val="20"/>
              </w:rPr>
            </w:pPr>
          </w:p>
        </w:tc>
        <w:tc>
          <w:tcPr>
            <w:tcW w:w="3907" w:type="dxa"/>
          </w:tcPr>
          <w:p w14:paraId="4BD769D0" w14:textId="22033B30" w:rsidR="00B813F2" w:rsidRPr="00931E05" w:rsidRDefault="00B813F2" w:rsidP="00126050">
            <w:pPr>
              <w:tabs>
                <w:tab w:val="left" w:pos="2912"/>
              </w:tabs>
              <w:rPr>
                <w:sz w:val="20"/>
                <w:szCs w:val="20"/>
              </w:rPr>
            </w:pPr>
          </w:p>
          <w:p w14:paraId="2875176E" w14:textId="40A8FB25" w:rsidR="00931E05" w:rsidRPr="00931E05" w:rsidRDefault="00931E05" w:rsidP="00931E05">
            <w:pPr>
              <w:tabs>
                <w:tab w:val="left" w:pos="2912"/>
              </w:tabs>
              <w:jc w:val="both"/>
              <w:rPr>
                <w:sz w:val="20"/>
                <w:szCs w:val="20"/>
              </w:rPr>
            </w:pPr>
            <w:r w:rsidRPr="00931E05">
              <w:rPr>
                <w:sz w:val="20"/>
                <w:szCs w:val="20"/>
              </w:rPr>
              <w:t>Ideal para ambientes internos e externos, oferecendo acabamento fosco uniforme, boa cobertura e fácil aplicação. Sua fórmula foi desenvolvida para proporcionar melhor rendimento com diluição de até 50% em água potável, garantindo economia e eficiência na pintura.</w:t>
            </w:r>
          </w:p>
          <w:p w14:paraId="2F108EA2" w14:textId="77777777" w:rsidR="00931E05" w:rsidRPr="00931E05" w:rsidRDefault="00931E05" w:rsidP="00931E05">
            <w:pPr>
              <w:tabs>
                <w:tab w:val="left" w:pos="2912"/>
              </w:tabs>
              <w:jc w:val="both"/>
              <w:rPr>
                <w:sz w:val="20"/>
                <w:szCs w:val="20"/>
              </w:rPr>
            </w:pPr>
            <w:r w:rsidRPr="00931E05">
              <w:rPr>
                <w:sz w:val="20"/>
                <w:szCs w:val="20"/>
              </w:rPr>
              <w:t>Indicada para quem busca um acabamento prático, com boa uniformidade e ótimo custo-benefício, é aplicável em superfícies de alvenaria, reboco, concreto, massa corrida e áreas devidamente preparadas.</w:t>
            </w:r>
          </w:p>
          <w:p w14:paraId="4A7DE2FC" w14:textId="55EAA95A" w:rsidR="006D051A" w:rsidRPr="00931E05" w:rsidRDefault="00931E05" w:rsidP="00126050">
            <w:pPr>
              <w:rPr>
                <w:b/>
                <w:bCs/>
                <w:sz w:val="20"/>
                <w:szCs w:val="20"/>
              </w:rPr>
            </w:pPr>
            <w:r w:rsidRPr="00931E05">
              <w:rPr>
                <w:rFonts w:cstheme="minorHAnsi"/>
                <w:color w:val="231F20"/>
                <w:w w:val="90"/>
                <w:sz w:val="20"/>
                <w:szCs w:val="20"/>
              </w:rPr>
              <w:t>Atenção: em superfícies de gesso, recomenda-se o uso prévio do Fundo Preparador Brilvinil®.</w:t>
            </w:r>
          </w:p>
        </w:tc>
        <w:tc>
          <w:tcPr>
            <w:tcW w:w="3297" w:type="dxa"/>
          </w:tcPr>
          <w:p w14:paraId="5A79C2A0" w14:textId="1511860E" w:rsidR="00ED608A" w:rsidRPr="00ED608A" w:rsidRDefault="00ED608A" w:rsidP="00931E05">
            <w:pPr>
              <w:tabs>
                <w:tab w:val="left" w:pos="2912"/>
              </w:tabs>
              <w:jc w:val="both"/>
              <w:rPr>
                <w:b/>
                <w:bCs/>
                <w:sz w:val="22"/>
                <w:szCs w:val="22"/>
              </w:rPr>
            </w:pPr>
            <w:bookmarkStart w:id="0" w:name="_GoBack"/>
            <w:bookmarkEnd w:id="0"/>
          </w:p>
        </w:tc>
        <w:tc>
          <w:tcPr>
            <w:tcW w:w="3839" w:type="dxa"/>
          </w:tcPr>
          <w:p w14:paraId="6B2326F2" w14:textId="77777777" w:rsidR="006D051A" w:rsidRPr="00B813F2" w:rsidRDefault="006D051A" w:rsidP="00126050">
            <w:pPr>
              <w:rPr>
                <w:b/>
                <w:bCs/>
                <w:sz w:val="14"/>
                <w:szCs w:val="14"/>
              </w:rPr>
            </w:pPr>
          </w:p>
        </w:tc>
      </w:tr>
      <w:tr w:rsidR="006D051A" w:rsidRPr="00B813F2" w14:paraId="296F687C" w14:textId="77777777" w:rsidTr="000F7888">
        <w:trPr>
          <w:cantSplit/>
          <w:trHeight w:val="1195"/>
        </w:trPr>
        <w:tc>
          <w:tcPr>
            <w:tcW w:w="624" w:type="dxa"/>
            <w:textDirection w:val="btLr"/>
          </w:tcPr>
          <w:p w14:paraId="36ECA3B3" w14:textId="77777777" w:rsidR="006D051A" w:rsidRPr="000F7888" w:rsidRDefault="006D051A" w:rsidP="00126050">
            <w:pPr>
              <w:ind w:left="113" w:right="113"/>
              <w:jc w:val="center"/>
              <w:rPr>
                <w:b/>
                <w:bCs/>
                <w:sz w:val="20"/>
                <w:szCs w:val="20"/>
              </w:rPr>
            </w:pPr>
            <w:r w:rsidRPr="000F7888">
              <w:rPr>
                <w:b/>
                <w:bCs/>
                <w:sz w:val="20"/>
                <w:szCs w:val="20"/>
              </w:rPr>
              <w:t>COMPOSIÇÃO</w:t>
            </w:r>
          </w:p>
          <w:p w14:paraId="2F50D7F4" w14:textId="77777777" w:rsidR="006D051A" w:rsidRPr="000F7888" w:rsidRDefault="006D051A" w:rsidP="00126050">
            <w:pPr>
              <w:ind w:left="113" w:right="113"/>
              <w:jc w:val="center"/>
              <w:rPr>
                <w:b/>
                <w:bCs/>
                <w:sz w:val="20"/>
                <w:szCs w:val="20"/>
              </w:rPr>
            </w:pPr>
          </w:p>
        </w:tc>
        <w:tc>
          <w:tcPr>
            <w:tcW w:w="3907" w:type="dxa"/>
          </w:tcPr>
          <w:p w14:paraId="205B4EB3" w14:textId="27149C45" w:rsidR="006D051A" w:rsidRPr="000F7888" w:rsidRDefault="000F7888" w:rsidP="00126050">
            <w:pPr>
              <w:rPr>
                <w:b/>
                <w:bCs/>
                <w:sz w:val="20"/>
                <w:szCs w:val="20"/>
              </w:rPr>
            </w:pPr>
            <w:r w:rsidRPr="00931E05">
              <w:rPr>
                <w:rFonts w:cstheme="minorHAnsi"/>
                <w:color w:val="000000" w:themeColor="text1"/>
                <w:sz w:val="20"/>
                <w:szCs w:val="20"/>
              </w:rPr>
              <w:t>Produto formulado à base de resina acrílica, cargas minerais, biocidas, aditivos, solventes, dióxido de titânio, pigmentos e água. Não contém metais pesados como chumbo, cádmio e mercúrio.</w:t>
            </w:r>
          </w:p>
        </w:tc>
        <w:tc>
          <w:tcPr>
            <w:tcW w:w="3297" w:type="dxa"/>
          </w:tcPr>
          <w:p w14:paraId="59F66367" w14:textId="77777777" w:rsidR="006D051A" w:rsidRPr="00B813F2" w:rsidRDefault="006D051A" w:rsidP="00126050">
            <w:pPr>
              <w:rPr>
                <w:b/>
                <w:bCs/>
                <w:sz w:val="14"/>
                <w:szCs w:val="14"/>
              </w:rPr>
            </w:pPr>
          </w:p>
        </w:tc>
        <w:tc>
          <w:tcPr>
            <w:tcW w:w="3839" w:type="dxa"/>
          </w:tcPr>
          <w:p w14:paraId="68A8A92F" w14:textId="77777777" w:rsidR="006D051A" w:rsidRPr="00B813F2" w:rsidRDefault="006D051A" w:rsidP="00126050">
            <w:pPr>
              <w:rPr>
                <w:b/>
                <w:bCs/>
                <w:sz w:val="14"/>
                <w:szCs w:val="14"/>
              </w:rPr>
            </w:pPr>
          </w:p>
        </w:tc>
      </w:tr>
      <w:tr w:rsidR="006D051A" w:rsidRPr="00B813F2" w14:paraId="792A6C6B" w14:textId="77777777" w:rsidTr="000F7888">
        <w:trPr>
          <w:cantSplit/>
          <w:trHeight w:val="1244"/>
        </w:trPr>
        <w:tc>
          <w:tcPr>
            <w:tcW w:w="624" w:type="dxa"/>
            <w:textDirection w:val="btLr"/>
          </w:tcPr>
          <w:p w14:paraId="320832EA" w14:textId="77777777" w:rsidR="006D051A" w:rsidRPr="000F7888" w:rsidRDefault="006D051A" w:rsidP="00126050">
            <w:pPr>
              <w:ind w:left="113" w:right="113"/>
              <w:jc w:val="center"/>
              <w:rPr>
                <w:b/>
                <w:bCs/>
                <w:sz w:val="20"/>
                <w:szCs w:val="20"/>
              </w:rPr>
            </w:pPr>
            <w:r w:rsidRPr="000F7888">
              <w:rPr>
                <w:b/>
                <w:bCs/>
                <w:sz w:val="20"/>
                <w:szCs w:val="20"/>
              </w:rPr>
              <w:t>ACABAMENTO</w:t>
            </w:r>
          </w:p>
          <w:p w14:paraId="7F961AFD" w14:textId="77777777" w:rsidR="006D051A" w:rsidRPr="000F7888" w:rsidRDefault="006D051A" w:rsidP="00126050">
            <w:pPr>
              <w:ind w:left="113" w:right="113"/>
              <w:jc w:val="center"/>
              <w:rPr>
                <w:b/>
                <w:bCs/>
                <w:sz w:val="20"/>
                <w:szCs w:val="20"/>
              </w:rPr>
            </w:pPr>
          </w:p>
        </w:tc>
        <w:tc>
          <w:tcPr>
            <w:tcW w:w="3907" w:type="dxa"/>
          </w:tcPr>
          <w:p w14:paraId="66C552A6" w14:textId="77777777" w:rsidR="00106D68" w:rsidRPr="00931E05" w:rsidRDefault="00106D68" w:rsidP="00126050">
            <w:pPr>
              <w:tabs>
                <w:tab w:val="left" w:pos="2912"/>
              </w:tabs>
              <w:rPr>
                <w:b/>
                <w:bCs/>
                <w:sz w:val="20"/>
                <w:szCs w:val="20"/>
              </w:rPr>
            </w:pPr>
          </w:p>
          <w:p w14:paraId="2D444ABB" w14:textId="77777777" w:rsidR="00931E05" w:rsidRPr="00931E05" w:rsidRDefault="00931E05" w:rsidP="00931E05">
            <w:pPr>
              <w:pStyle w:val="TableParagraph"/>
              <w:jc w:val="both"/>
              <w:rPr>
                <w:rFonts w:asciiTheme="minorHAnsi" w:eastAsiaTheme="minorHAnsi" w:hAnsiTheme="minorHAnsi" w:cstheme="minorHAnsi"/>
                <w:color w:val="231F20"/>
                <w:w w:val="90"/>
                <w:sz w:val="20"/>
                <w:szCs w:val="20"/>
                <w:lang w:val="pt-BR"/>
              </w:rPr>
            </w:pPr>
            <w:r w:rsidRPr="00931E05">
              <w:rPr>
                <w:rFonts w:asciiTheme="minorHAnsi" w:eastAsiaTheme="minorHAnsi" w:hAnsiTheme="minorHAnsi" w:cstheme="minorHAnsi"/>
                <w:color w:val="231F20"/>
                <w:w w:val="90"/>
                <w:sz w:val="20"/>
                <w:szCs w:val="20"/>
                <w:lang w:val="pt-BR"/>
              </w:rPr>
              <w:t xml:space="preserve">Fosco. </w:t>
            </w:r>
          </w:p>
          <w:p w14:paraId="7DB1DC76" w14:textId="2FF3B9FB" w:rsidR="006D051A" w:rsidRPr="000F7888" w:rsidRDefault="00931E05" w:rsidP="00931E05">
            <w:pPr>
              <w:rPr>
                <w:b/>
                <w:bCs/>
                <w:sz w:val="20"/>
                <w:szCs w:val="20"/>
              </w:rPr>
            </w:pPr>
            <w:r w:rsidRPr="00931E05">
              <w:rPr>
                <w:rFonts w:cstheme="minorHAnsi"/>
                <w:color w:val="231F20"/>
                <w:w w:val="90"/>
                <w:sz w:val="20"/>
                <w:szCs w:val="20"/>
              </w:rPr>
              <w:t>Cores: Conforme o catálogo de cores Brilvinil®.</w:t>
            </w:r>
          </w:p>
        </w:tc>
        <w:tc>
          <w:tcPr>
            <w:tcW w:w="3297" w:type="dxa"/>
          </w:tcPr>
          <w:p w14:paraId="4F134832" w14:textId="77777777" w:rsidR="006D051A" w:rsidRPr="00B813F2" w:rsidRDefault="006D051A" w:rsidP="00126050">
            <w:pPr>
              <w:rPr>
                <w:b/>
                <w:bCs/>
                <w:sz w:val="14"/>
                <w:szCs w:val="14"/>
              </w:rPr>
            </w:pPr>
          </w:p>
        </w:tc>
        <w:tc>
          <w:tcPr>
            <w:tcW w:w="3839" w:type="dxa"/>
          </w:tcPr>
          <w:p w14:paraId="777907BA" w14:textId="77777777" w:rsidR="006D051A" w:rsidRPr="00B813F2" w:rsidRDefault="006D051A" w:rsidP="00126050">
            <w:pPr>
              <w:rPr>
                <w:b/>
                <w:bCs/>
                <w:sz w:val="14"/>
                <w:szCs w:val="14"/>
              </w:rPr>
            </w:pPr>
          </w:p>
        </w:tc>
      </w:tr>
      <w:tr w:rsidR="006D051A" w:rsidRPr="00B813F2" w14:paraId="2E45E4C0" w14:textId="77777777" w:rsidTr="000F7888">
        <w:trPr>
          <w:cantSplit/>
          <w:trHeight w:val="910"/>
        </w:trPr>
        <w:tc>
          <w:tcPr>
            <w:tcW w:w="624" w:type="dxa"/>
            <w:textDirection w:val="btLr"/>
          </w:tcPr>
          <w:p w14:paraId="6B8E3CD4" w14:textId="77777777" w:rsidR="006D051A" w:rsidRPr="000F7888" w:rsidRDefault="006D051A" w:rsidP="00126050">
            <w:pPr>
              <w:ind w:left="113" w:right="113"/>
              <w:jc w:val="center"/>
              <w:rPr>
                <w:b/>
                <w:bCs/>
                <w:sz w:val="20"/>
                <w:szCs w:val="20"/>
              </w:rPr>
            </w:pPr>
            <w:r w:rsidRPr="000F7888">
              <w:rPr>
                <w:b/>
                <w:bCs/>
                <w:sz w:val="20"/>
                <w:szCs w:val="20"/>
              </w:rPr>
              <w:t>APLICAÇÃO</w:t>
            </w:r>
          </w:p>
          <w:p w14:paraId="4AC089E0" w14:textId="77777777" w:rsidR="006D051A" w:rsidRPr="000F7888" w:rsidRDefault="006D051A" w:rsidP="00126050">
            <w:pPr>
              <w:ind w:left="113" w:right="113"/>
              <w:jc w:val="center"/>
              <w:rPr>
                <w:b/>
                <w:bCs/>
                <w:sz w:val="20"/>
                <w:szCs w:val="20"/>
              </w:rPr>
            </w:pPr>
          </w:p>
        </w:tc>
        <w:tc>
          <w:tcPr>
            <w:tcW w:w="3907" w:type="dxa"/>
          </w:tcPr>
          <w:p w14:paraId="38B538F9" w14:textId="77777777" w:rsidR="00106D68" w:rsidRPr="000F7888" w:rsidRDefault="00106D68" w:rsidP="00126050">
            <w:pPr>
              <w:tabs>
                <w:tab w:val="left" w:pos="2912"/>
              </w:tabs>
              <w:rPr>
                <w:sz w:val="20"/>
                <w:szCs w:val="20"/>
              </w:rPr>
            </w:pPr>
          </w:p>
          <w:p w14:paraId="399B87B7" w14:textId="37E9CF11" w:rsidR="006D051A" w:rsidRPr="000F7888" w:rsidRDefault="000F7888" w:rsidP="00126050">
            <w:pPr>
              <w:tabs>
                <w:tab w:val="left" w:pos="2912"/>
              </w:tabs>
              <w:rPr>
                <w:sz w:val="20"/>
                <w:szCs w:val="20"/>
              </w:rPr>
            </w:pPr>
            <w:r w:rsidRPr="000F7888">
              <w:rPr>
                <w:rFonts w:cstheme="minorHAnsi"/>
                <w:color w:val="231F20"/>
                <w:spacing w:val="-2"/>
                <w:sz w:val="20"/>
                <w:szCs w:val="20"/>
              </w:rPr>
              <w:t>Aplicar de 2 a 3 demãos com Rolo de lã baixa ou de espuma fina, pincel ou trincha de cerdas macias, respeitando o tempo de secagem entre as demãos.</w:t>
            </w:r>
          </w:p>
          <w:p w14:paraId="1EB24389" w14:textId="77777777" w:rsidR="006D051A" w:rsidRPr="000F7888" w:rsidRDefault="006D051A" w:rsidP="00126050">
            <w:pPr>
              <w:rPr>
                <w:b/>
                <w:bCs/>
                <w:sz w:val="20"/>
                <w:szCs w:val="20"/>
              </w:rPr>
            </w:pPr>
          </w:p>
        </w:tc>
        <w:tc>
          <w:tcPr>
            <w:tcW w:w="3297" w:type="dxa"/>
          </w:tcPr>
          <w:p w14:paraId="1971D461" w14:textId="77777777" w:rsidR="006D051A" w:rsidRPr="00B813F2" w:rsidRDefault="006D051A" w:rsidP="00126050">
            <w:pPr>
              <w:rPr>
                <w:b/>
                <w:bCs/>
                <w:sz w:val="14"/>
                <w:szCs w:val="14"/>
              </w:rPr>
            </w:pPr>
          </w:p>
        </w:tc>
        <w:tc>
          <w:tcPr>
            <w:tcW w:w="3839" w:type="dxa"/>
          </w:tcPr>
          <w:p w14:paraId="3EED3CE5" w14:textId="5C5076E4" w:rsidR="006D051A" w:rsidRPr="00B813F2" w:rsidRDefault="006D051A" w:rsidP="00126050">
            <w:pPr>
              <w:rPr>
                <w:b/>
                <w:bCs/>
                <w:sz w:val="14"/>
                <w:szCs w:val="14"/>
              </w:rPr>
            </w:pPr>
          </w:p>
        </w:tc>
      </w:tr>
      <w:tr w:rsidR="006D051A" w:rsidRPr="00B813F2" w14:paraId="48774B54" w14:textId="77777777" w:rsidTr="000F7888">
        <w:trPr>
          <w:cantSplit/>
          <w:trHeight w:val="747"/>
        </w:trPr>
        <w:tc>
          <w:tcPr>
            <w:tcW w:w="624" w:type="dxa"/>
            <w:textDirection w:val="btLr"/>
          </w:tcPr>
          <w:p w14:paraId="4ECDCFA8" w14:textId="77777777" w:rsidR="006D051A" w:rsidRPr="000F7888" w:rsidRDefault="006D051A" w:rsidP="00126050">
            <w:pPr>
              <w:ind w:left="113" w:right="113"/>
              <w:jc w:val="center"/>
              <w:rPr>
                <w:b/>
                <w:bCs/>
                <w:sz w:val="20"/>
                <w:szCs w:val="20"/>
              </w:rPr>
            </w:pPr>
            <w:r w:rsidRPr="000F7888">
              <w:rPr>
                <w:b/>
                <w:bCs/>
                <w:sz w:val="20"/>
                <w:szCs w:val="20"/>
              </w:rPr>
              <w:t>SECAGEM</w:t>
            </w:r>
          </w:p>
        </w:tc>
        <w:tc>
          <w:tcPr>
            <w:tcW w:w="3907" w:type="dxa"/>
          </w:tcPr>
          <w:p w14:paraId="6F71200A" w14:textId="77777777" w:rsidR="00106D68" w:rsidRPr="000F7888" w:rsidRDefault="00106D68" w:rsidP="00126050">
            <w:pPr>
              <w:tabs>
                <w:tab w:val="left" w:pos="2912"/>
              </w:tabs>
              <w:rPr>
                <w:sz w:val="20"/>
                <w:szCs w:val="20"/>
              </w:rPr>
            </w:pPr>
          </w:p>
          <w:p w14:paraId="48A43F7D" w14:textId="007A508F" w:rsidR="006D051A" w:rsidRPr="000F7888" w:rsidRDefault="006D051A" w:rsidP="00126050">
            <w:pPr>
              <w:tabs>
                <w:tab w:val="left" w:pos="2912"/>
              </w:tabs>
              <w:rPr>
                <w:sz w:val="20"/>
                <w:szCs w:val="20"/>
              </w:rPr>
            </w:pPr>
            <w:r w:rsidRPr="000F7888">
              <w:rPr>
                <w:sz w:val="20"/>
                <w:szCs w:val="20"/>
              </w:rPr>
              <w:t>Ao toque: 30 minutos</w:t>
            </w:r>
          </w:p>
          <w:p w14:paraId="602487FC" w14:textId="77777777" w:rsidR="006D051A" w:rsidRPr="000F7888" w:rsidRDefault="006D051A" w:rsidP="00126050">
            <w:pPr>
              <w:tabs>
                <w:tab w:val="left" w:pos="2912"/>
              </w:tabs>
              <w:rPr>
                <w:sz w:val="20"/>
                <w:szCs w:val="20"/>
              </w:rPr>
            </w:pPr>
            <w:r w:rsidRPr="000F7888">
              <w:rPr>
                <w:sz w:val="20"/>
                <w:szCs w:val="20"/>
              </w:rPr>
              <w:t>Para manuseio: 2 horas</w:t>
            </w:r>
          </w:p>
          <w:p w14:paraId="7481A5C3" w14:textId="77777777" w:rsidR="006D051A" w:rsidRPr="000F7888" w:rsidRDefault="006D051A" w:rsidP="00126050">
            <w:pPr>
              <w:tabs>
                <w:tab w:val="left" w:pos="2912"/>
              </w:tabs>
              <w:rPr>
                <w:sz w:val="20"/>
                <w:szCs w:val="20"/>
              </w:rPr>
            </w:pPr>
            <w:r w:rsidRPr="000F7888">
              <w:rPr>
                <w:sz w:val="20"/>
                <w:szCs w:val="20"/>
              </w:rPr>
              <w:t>Secagem total: 4 horas.</w:t>
            </w:r>
          </w:p>
          <w:p w14:paraId="2CC1142A" w14:textId="77777777" w:rsidR="006D051A" w:rsidRPr="000F7888" w:rsidRDefault="006D051A" w:rsidP="00126050">
            <w:pPr>
              <w:tabs>
                <w:tab w:val="left" w:pos="2912"/>
              </w:tabs>
              <w:rPr>
                <w:sz w:val="20"/>
                <w:szCs w:val="20"/>
              </w:rPr>
            </w:pPr>
          </w:p>
          <w:p w14:paraId="062F5F83" w14:textId="77777777" w:rsidR="006D051A" w:rsidRPr="000F7888" w:rsidRDefault="006D051A" w:rsidP="00126050">
            <w:pPr>
              <w:tabs>
                <w:tab w:val="left" w:pos="2912"/>
              </w:tabs>
              <w:rPr>
                <w:b/>
                <w:bCs/>
                <w:sz w:val="20"/>
                <w:szCs w:val="20"/>
              </w:rPr>
            </w:pPr>
          </w:p>
        </w:tc>
        <w:tc>
          <w:tcPr>
            <w:tcW w:w="3297" w:type="dxa"/>
          </w:tcPr>
          <w:p w14:paraId="77867BE0" w14:textId="77777777" w:rsidR="006D051A" w:rsidRPr="00B813F2" w:rsidRDefault="006D051A" w:rsidP="00126050">
            <w:pPr>
              <w:tabs>
                <w:tab w:val="left" w:pos="2912"/>
              </w:tabs>
              <w:rPr>
                <w:b/>
                <w:bCs/>
                <w:sz w:val="14"/>
                <w:szCs w:val="14"/>
              </w:rPr>
            </w:pPr>
          </w:p>
        </w:tc>
        <w:tc>
          <w:tcPr>
            <w:tcW w:w="3839" w:type="dxa"/>
          </w:tcPr>
          <w:p w14:paraId="1156C2AE" w14:textId="77777777" w:rsidR="006D051A" w:rsidRPr="00B813F2" w:rsidRDefault="006D051A" w:rsidP="00126050">
            <w:pPr>
              <w:rPr>
                <w:b/>
                <w:bCs/>
                <w:sz w:val="14"/>
                <w:szCs w:val="14"/>
              </w:rPr>
            </w:pPr>
          </w:p>
        </w:tc>
      </w:tr>
      <w:tr w:rsidR="006D051A" w:rsidRPr="00B813F2" w14:paraId="5D432657" w14:textId="77777777" w:rsidTr="000F7888">
        <w:trPr>
          <w:cantSplit/>
          <w:trHeight w:val="1398"/>
        </w:trPr>
        <w:tc>
          <w:tcPr>
            <w:tcW w:w="624" w:type="dxa"/>
            <w:textDirection w:val="btLr"/>
          </w:tcPr>
          <w:p w14:paraId="2391B640" w14:textId="77777777" w:rsidR="006D051A" w:rsidRPr="000F7888" w:rsidRDefault="006D051A" w:rsidP="00126050">
            <w:pPr>
              <w:ind w:left="113" w:right="113"/>
              <w:jc w:val="center"/>
              <w:rPr>
                <w:b/>
                <w:bCs/>
                <w:sz w:val="20"/>
                <w:szCs w:val="20"/>
              </w:rPr>
            </w:pPr>
            <w:r w:rsidRPr="000F7888">
              <w:rPr>
                <w:b/>
                <w:bCs/>
                <w:sz w:val="20"/>
                <w:szCs w:val="20"/>
              </w:rPr>
              <w:lastRenderedPageBreak/>
              <w:t>DILUIÇÃO</w:t>
            </w:r>
          </w:p>
        </w:tc>
        <w:tc>
          <w:tcPr>
            <w:tcW w:w="3907" w:type="dxa"/>
          </w:tcPr>
          <w:p w14:paraId="6D729797" w14:textId="77777777" w:rsidR="001C4787" w:rsidRPr="00CF7795" w:rsidRDefault="001C4787" w:rsidP="00126050">
            <w:pPr>
              <w:rPr>
                <w:sz w:val="20"/>
                <w:szCs w:val="20"/>
              </w:rPr>
            </w:pPr>
          </w:p>
          <w:p w14:paraId="28097BD6" w14:textId="555C930A" w:rsidR="006D051A" w:rsidRPr="00CF7795" w:rsidRDefault="00CF7795" w:rsidP="00126050">
            <w:pPr>
              <w:rPr>
                <w:b/>
                <w:bCs/>
                <w:sz w:val="20"/>
                <w:szCs w:val="20"/>
              </w:rPr>
            </w:pPr>
            <w:r w:rsidRPr="00CF7795">
              <w:rPr>
                <w:rFonts w:cstheme="minorHAnsi"/>
                <w:color w:val="231F20"/>
                <w:w w:val="90"/>
                <w:sz w:val="20"/>
                <w:szCs w:val="20"/>
              </w:rPr>
              <w:t xml:space="preserve">Rolo/Pincel: primeira demão diluir com </w:t>
            </w:r>
            <w:r>
              <w:rPr>
                <w:rFonts w:cstheme="minorHAnsi"/>
                <w:color w:val="231F20"/>
                <w:w w:val="90"/>
                <w:sz w:val="20"/>
                <w:szCs w:val="20"/>
              </w:rPr>
              <w:t>5</w:t>
            </w:r>
            <w:r w:rsidRPr="00CF7795">
              <w:rPr>
                <w:rFonts w:cstheme="minorHAnsi"/>
                <w:color w:val="231F20"/>
                <w:w w:val="90"/>
                <w:sz w:val="20"/>
                <w:szCs w:val="20"/>
              </w:rPr>
              <w:t xml:space="preserve">0% com água limpa, as demais demãos até </w:t>
            </w:r>
            <w:r>
              <w:rPr>
                <w:rFonts w:cstheme="minorHAnsi"/>
                <w:color w:val="231F20"/>
                <w:w w:val="90"/>
                <w:sz w:val="20"/>
                <w:szCs w:val="20"/>
              </w:rPr>
              <w:t>40</w:t>
            </w:r>
            <w:r w:rsidRPr="00CF7795">
              <w:rPr>
                <w:rFonts w:cstheme="minorHAnsi"/>
                <w:color w:val="231F20"/>
                <w:w w:val="90"/>
                <w:sz w:val="20"/>
                <w:szCs w:val="20"/>
              </w:rPr>
              <w:t xml:space="preserve">% com água limpa. </w:t>
            </w:r>
          </w:p>
        </w:tc>
        <w:tc>
          <w:tcPr>
            <w:tcW w:w="3297" w:type="dxa"/>
          </w:tcPr>
          <w:p w14:paraId="54729308" w14:textId="77777777" w:rsidR="006D051A" w:rsidRPr="00B813F2" w:rsidRDefault="006D051A" w:rsidP="00126050">
            <w:pPr>
              <w:rPr>
                <w:b/>
                <w:bCs/>
                <w:sz w:val="14"/>
                <w:szCs w:val="14"/>
              </w:rPr>
            </w:pPr>
          </w:p>
        </w:tc>
        <w:tc>
          <w:tcPr>
            <w:tcW w:w="3839" w:type="dxa"/>
          </w:tcPr>
          <w:p w14:paraId="179C2BA5" w14:textId="77777777" w:rsidR="006D051A" w:rsidRPr="00B813F2" w:rsidRDefault="006D051A" w:rsidP="00126050">
            <w:pPr>
              <w:rPr>
                <w:b/>
                <w:bCs/>
                <w:sz w:val="14"/>
                <w:szCs w:val="14"/>
              </w:rPr>
            </w:pPr>
          </w:p>
        </w:tc>
      </w:tr>
      <w:tr w:rsidR="006D051A" w:rsidRPr="00B813F2" w14:paraId="7F666032" w14:textId="77777777" w:rsidTr="000F7888">
        <w:trPr>
          <w:cantSplit/>
          <w:trHeight w:val="1210"/>
        </w:trPr>
        <w:tc>
          <w:tcPr>
            <w:tcW w:w="624" w:type="dxa"/>
            <w:textDirection w:val="btLr"/>
          </w:tcPr>
          <w:p w14:paraId="7422C9CB" w14:textId="69D21906" w:rsidR="006D051A" w:rsidRPr="000F7888" w:rsidRDefault="001C4787" w:rsidP="00126050">
            <w:pPr>
              <w:ind w:left="113" w:right="113"/>
              <w:jc w:val="center"/>
              <w:rPr>
                <w:b/>
                <w:bCs/>
                <w:sz w:val="20"/>
                <w:szCs w:val="20"/>
              </w:rPr>
            </w:pPr>
            <w:r w:rsidRPr="000F7888">
              <w:rPr>
                <w:b/>
                <w:bCs/>
                <w:sz w:val="20"/>
                <w:szCs w:val="20"/>
              </w:rPr>
              <w:t>R</w:t>
            </w:r>
            <w:r w:rsidR="006D051A" w:rsidRPr="000F7888">
              <w:rPr>
                <w:b/>
                <w:bCs/>
                <w:sz w:val="20"/>
                <w:szCs w:val="20"/>
              </w:rPr>
              <w:t>ENDIMENTO</w:t>
            </w:r>
          </w:p>
          <w:p w14:paraId="75A46A0D" w14:textId="77777777" w:rsidR="006D051A" w:rsidRPr="000F7888" w:rsidRDefault="006D051A" w:rsidP="00126050">
            <w:pPr>
              <w:ind w:left="113" w:right="113"/>
              <w:rPr>
                <w:b/>
                <w:bCs/>
                <w:sz w:val="20"/>
                <w:szCs w:val="20"/>
              </w:rPr>
            </w:pPr>
          </w:p>
        </w:tc>
        <w:tc>
          <w:tcPr>
            <w:tcW w:w="3907" w:type="dxa"/>
          </w:tcPr>
          <w:p w14:paraId="6D14AA4C" w14:textId="77777777" w:rsidR="001C4787" w:rsidRPr="000F7888" w:rsidRDefault="001C4787" w:rsidP="00126050">
            <w:pPr>
              <w:rPr>
                <w:sz w:val="20"/>
                <w:szCs w:val="20"/>
              </w:rPr>
            </w:pPr>
          </w:p>
          <w:p w14:paraId="3F8577EC" w14:textId="2808B8FC" w:rsidR="006D051A" w:rsidRPr="000F7888" w:rsidRDefault="000F7888" w:rsidP="00126050">
            <w:pPr>
              <w:rPr>
                <w:b/>
                <w:bCs/>
                <w:sz w:val="20"/>
                <w:szCs w:val="20"/>
              </w:rPr>
            </w:pPr>
            <w:r w:rsidRPr="00931E05">
              <w:rPr>
                <w:rFonts w:cstheme="minorHAnsi"/>
                <w:color w:val="000000" w:themeColor="text1"/>
                <w:spacing w:val="-2"/>
                <w:w w:val="90"/>
                <w:sz w:val="20"/>
                <w:szCs w:val="20"/>
              </w:rPr>
              <w:t xml:space="preserve">Aproximadamente </w:t>
            </w:r>
            <w:r w:rsidR="00CF7795" w:rsidRPr="00931E05">
              <w:rPr>
                <w:rFonts w:cstheme="minorHAnsi"/>
                <w:color w:val="000000" w:themeColor="text1"/>
                <w:spacing w:val="-2"/>
                <w:w w:val="90"/>
                <w:sz w:val="20"/>
                <w:szCs w:val="20"/>
              </w:rPr>
              <w:t>200</w:t>
            </w:r>
            <w:r w:rsidRPr="00931E05">
              <w:rPr>
                <w:rFonts w:cstheme="minorHAnsi"/>
                <w:color w:val="000000" w:themeColor="text1"/>
                <w:spacing w:val="-2"/>
                <w:w w:val="90"/>
                <w:sz w:val="20"/>
                <w:szCs w:val="20"/>
              </w:rPr>
              <w:t xml:space="preserve"> a </w:t>
            </w:r>
            <w:r w:rsidR="00CF7795" w:rsidRPr="00931E05">
              <w:rPr>
                <w:rFonts w:cstheme="minorHAnsi"/>
                <w:color w:val="000000" w:themeColor="text1"/>
                <w:spacing w:val="-2"/>
                <w:w w:val="90"/>
                <w:sz w:val="20"/>
                <w:szCs w:val="20"/>
              </w:rPr>
              <w:t>300</w:t>
            </w:r>
            <w:r w:rsidRPr="00931E05">
              <w:rPr>
                <w:rFonts w:cstheme="minorHAnsi"/>
                <w:color w:val="000000" w:themeColor="text1"/>
                <w:spacing w:val="-2"/>
                <w:w w:val="90"/>
                <w:sz w:val="20"/>
                <w:szCs w:val="20"/>
              </w:rPr>
              <w:t xml:space="preserve"> m²/l</w:t>
            </w:r>
            <w:r w:rsidR="00CF7795" w:rsidRPr="00931E05">
              <w:rPr>
                <w:rFonts w:cstheme="minorHAnsi"/>
                <w:color w:val="000000" w:themeColor="text1"/>
                <w:spacing w:val="-2"/>
                <w:w w:val="90"/>
                <w:sz w:val="20"/>
                <w:szCs w:val="20"/>
              </w:rPr>
              <w:t>ata</w:t>
            </w:r>
            <w:r w:rsidRPr="00931E05">
              <w:rPr>
                <w:rFonts w:cstheme="minorHAnsi"/>
                <w:color w:val="000000" w:themeColor="text1"/>
                <w:spacing w:val="-2"/>
                <w:w w:val="90"/>
                <w:sz w:val="20"/>
                <w:szCs w:val="20"/>
              </w:rPr>
              <w:t xml:space="preserve"> por demão (varia conforme a superfície e a aplicação).</w:t>
            </w:r>
          </w:p>
        </w:tc>
        <w:tc>
          <w:tcPr>
            <w:tcW w:w="3297" w:type="dxa"/>
          </w:tcPr>
          <w:p w14:paraId="06E7D5E5" w14:textId="77777777" w:rsidR="006D051A" w:rsidRPr="00B813F2" w:rsidRDefault="006D051A" w:rsidP="00126050">
            <w:pPr>
              <w:rPr>
                <w:b/>
                <w:bCs/>
                <w:sz w:val="14"/>
                <w:szCs w:val="14"/>
              </w:rPr>
            </w:pPr>
          </w:p>
        </w:tc>
        <w:tc>
          <w:tcPr>
            <w:tcW w:w="3839" w:type="dxa"/>
          </w:tcPr>
          <w:p w14:paraId="6D415BA9" w14:textId="77777777" w:rsidR="006D051A" w:rsidRPr="00B813F2" w:rsidRDefault="006D051A" w:rsidP="00126050">
            <w:pPr>
              <w:rPr>
                <w:b/>
                <w:bCs/>
                <w:sz w:val="14"/>
                <w:szCs w:val="14"/>
              </w:rPr>
            </w:pPr>
          </w:p>
        </w:tc>
      </w:tr>
    </w:tbl>
    <w:p w14:paraId="15855D78" w14:textId="77777777" w:rsidR="003963FF" w:rsidRPr="00B95B40" w:rsidRDefault="003963FF" w:rsidP="003963FF">
      <w:pPr>
        <w:rPr>
          <w:b/>
          <w:bCs/>
        </w:rPr>
      </w:pPr>
    </w:p>
    <w:p w14:paraId="2F7746C2" w14:textId="77777777" w:rsidR="001C4787" w:rsidRDefault="001C4787" w:rsidP="009D08F4">
      <w:pPr>
        <w:tabs>
          <w:tab w:val="left" w:pos="2912"/>
        </w:tabs>
        <w:rPr>
          <w:b/>
          <w:bCs/>
        </w:rPr>
      </w:pPr>
    </w:p>
    <w:p w14:paraId="3F6D8A13" w14:textId="77777777" w:rsidR="001C4787" w:rsidRDefault="001C4787" w:rsidP="009D08F4">
      <w:pPr>
        <w:tabs>
          <w:tab w:val="left" w:pos="2912"/>
        </w:tabs>
        <w:rPr>
          <w:b/>
          <w:bCs/>
        </w:rPr>
      </w:pPr>
    </w:p>
    <w:p w14:paraId="63101284" w14:textId="77777777" w:rsidR="001C4787" w:rsidRDefault="001C4787" w:rsidP="009D08F4">
      <w:pPr>
        <w:tabs>
          <w:tab w:val="left" w:pos="2912"/>
        </w:tabs>
        <w:rPr>
          <w:b/>
          <w:bCs/>
        </w:rPr>
      </w:pPr>
    </w:p>
    <w:p w14:paraId="651B0B25" w14:textId="77777777" w:rsidR="001C4787" w:rsidRDefault="001C4787" w:rsidP="009D08F4">
      <w:pPr>
        <w:tabs>
          <w:tab w:val="left" w:pos="2912"/>
        </w:tabs>
        <w:rPr>
          <w:b/>
          <w:bCs/>
        </w:rPr>
      </w:pPr>
    </w:p>
    <w:p w14:paraId="3A7AEBB1" w14:textId="77777777" w:rsidR="001C4787" w:rsidRDefault="001C4787" w:rsidP="009D08F4">
      <w:pPr>
        <w:tabs>
          <w:tab w:val="left" w:pos="2912"/>
        </w:tabs>
        <w:rPr>
          <w:b/>
          <w:bCs/>
        </w:rPr>
      </w:pPr>
    </w:p>
    <w:p w14:paraId="4D0C777F" w14:textId="77777777" w:rsidR="001C4787" w:rsidRDefault="001C4787" w:rsidP="009D08F4">
      <w:pPr>
        <w:tabs>
          <w:tab w:val="left" w:pos="2912"/>
        </w:tabs>
        <w:rPr>
          <w:b/>
          <w:bCs/>
        </w:rPr>
      </w:pPr>
    </w:p>
    <w:p w14:paraId="7BF0778D" w14:textId="77777777" w:rsidR="001C4787" w:rsidRDefault="001C4787" w:rsidP="009D08F4">
      <w:pPr>
        <w:tabs>
          <w:tab w:val="left" w:pos="2912"/>
        </w:tabs>
        <w:rPr>
          <w:b/>
          <w:bCs/>
        </w:rPr>
      </w:pPr>
    </w:p>
    <w:p w14:paraId="25BBAE3F" w14:textId="77777777" w:rsidR="001C4787" w:rsidRDefault="001C4787" w:rsidP="009D08F4">
      <w:pPr>
        <w:tabs>
          <w:tab w:val="left" w:pos="2912"/>
        </w:tabs>
        <w:rPr>
          <w:b/>
          <w:bCs/>
        </w:rPr>
      </w:pPr>
    </w:p>
    <w:p w14:paraId="40437172" w14:textId="77777777" w:rsidR="001C4787" w:rsidRDefault="001C4787" w:rsidP="009D08F4">
      <w:pPr>
        <w:tabs>
          <w:tab w:val="left" w:pos="2912"/>
        </w:tabs>
        <w:rPr>
          <w:b/>
          <w:bCs/>
        </w:rPr>
      </w:pPr>
    </w:p>
    <w:p w14:paraId="734D0CBE" w14:textId="77777777" w:rsidR="001C4787" w:rsidRDefault="001C4787" w:rsidP="009D08F4">
      <w:pPr>
        <w:tabs>
          <w:tab w:val="left" w:pos="2912"/>
        </w:tabs>
        <w:rPr>
          <w:b/>
          <w:bCs/>
        </w:rPr>
      </w:pPr>
    </w:p>
    <w:p w14:paraId="7B8B8570" w14:textId="77777777" w:rsidR="001C4787" w:rsidRDefault="001C4787" w:rsidP="009D08F4">
      <w:pPr>
        <w:tabs>
          <w:tab w:val="left" w:pos="2912"/>
        </w:tabs>
        <w:rPr>
          <w:b/>
          <w:bCs/>
        </w:rPr>
      </w:pPr>
    </w:p>
    <w:p w14:paraId="1E028ADA" w14:textId="77777777" w:rsidR="001C4787" w:rsidRDefault="001C4787" w:rsidP="009D08F4">
      <w:pPr>
        <w:tabs>
          <w:tab w:val="left" w:pos="2912"/>
        </w:tabs>
        <w:rPr>
          <w:b/>
          <w:bCs/>
        </w:rPr>
      </w:pPr>
    </w:p>
    <w:p w14:paraId="1FD1917D" w14:textId="77777777" w:rsidR="001C4787" w:rsidRDefault="001C4787" w:rsidP="009D08F4">
      <w:pPr>
        <w:tabs>
          <w:tab w:val="left" w:pos="2912"/>
        </w:tabs>
        <w:rPr>
          <w:b/>
          <w:bCs/>
        </w:rPr>
      </w:pPr>
    </w:p>
    <w:p w14:paraId="0784CB97" w14:textId="77777777" w:rsidR="001C4787" w:rsidRDefault="001C4787" w:rsidP="009D08F4">
      <w:pPr>
        <w:tabs>
          <w:tab w:val="left" w:pos="2912"/>
        </w:tabs>
        <w:rPr>
          <w:b/>
          <w:bCs/>
        </w:rPr>
      </w:pPr>
    </w:p>
    <w:p w14:paraId="1C9A8944" w14:textId="77777777" w:rsidR="001C4787" w:rsidRDefault="001C4787" w:rsidP="009D08F4">
      <w:pPr>
        <w:tabs>
          <w:tab w:val="left" w:pos="2912"/>
        </w:tabs>
        <w:rPr>
          <w:b/>
          <w:bCs/>
        </w:rPr>
      </w:pPr>
    </w:p>
    <w:p w14:paraId="2037C786" w14:textId="77777777" w:rsidR="001C4787" w:rsidRDefault="001C4787" w:rsidP="009D08F4">
      <w:pPr>
        <w:tabs>
          <w:tab w:val="left" w:pos="2912"/>
        </w:tabs>
        <w:rPr>
          <w:b/>
          <w:bCs/>
        </w:rPr>
      </w:pPr>
    </w:p>
    <w:p w14:paraId="4BA2FAAE" w14:textId="77777777" w:rsidR="001C4787" w:rsidRDefault="001C4787" w:rsidP="009D08F4">
      <w:pPr>
        <w:tabs>
          <w:tab w:val="left" w:pos="2912"/>
        </w:tabs>
        <w:rPr>
          <w:b/>
          <w:bCs/>
        </w:rPr>
      </w:pPr>
    </w:p>
    <w:p w14:paraId="79457A46" w14:textId="77777777" w:rsidR="001C4787" w:rsidRDefault="001C4787" w:rsidP="009D08F4">
      <w:pPr>
        <w:tabs>
          <w:tab w:val="left" w:pos="2912"/>
        </w:tabs>
        <w:rPr>
          <w:b/>
          <w:bCs/>
        </w:rPr>
      </w:pPr>
    </w:p>
    <w:p w14:paraId="75F76152" w14:textId="77777777" w:rsidR="001C4787" w:rsidRDefault="001C4787" w:rsidP="009D08F4">
      <w:pPr>
        <w:tabs>
          <w:tab w:val="left" w:pos="2912"/>
        </w:tabs>
        <w:rPr>
          <w:b/>
          <w:bCs/>
        </w:rPr>
      </w:pPr>
    </w:p>
    <w:p w14:paraId="56528189" w14:textId="77777777" w:rsidR="001C4787" w:rsidRDefault="001C4787" w:rsidP="009D08F4">
      <w:pPr>
        <w:tabs>
          <w:tab w:val="left" w:pos="2912"/>
        </w:tabs>
        <w:rPr>
          <w:b/>
          <w:bCs/>
        </w:rPr>
      </w:pPr>
    </w:p>
    <w:p w14:paraId="5A7ACF29" w14:textId="77777777" w:rsidR="001C4787" w:rsidRDefault="001C4787" w:rsidP="009D08F4">
      <w:pPr>
        <w:tabs>
          <w:tab w:val="left" w:pos="2912"/>
        </w:tabs>
        <w:rPr>
          <w:b/>
          <w:bCs/>
        </w:rPr>
      </w:pPr>
    </w:p>
    <w:p w14:paraId="6B16930B" w14:textId="77777777" w:rsidR="001C4787" w:rsidRDefault="001C4787" w:rsidP="009D08F4">
      <w:pPr>
        <w:tabs>
          <w:tab w:val="left" w:pos="2912"/>
        </w:tabs>
        <w:rPr>
          <w:b/>
          <w:bCs/>
        </w:rPr>
      </w:pPr>
    </w:p>
    <w:p w14:paraId="033509F0" w14:textId="77777777" w:rsidR="001C4787" w:rsidRDefault="001C4787" w:rsidP="009D08F4">
      <w:pPr>
        <w:tabs>
          <w:tab w:val="left" w:pos="2912"/>
        </w:tabs>
        <w:rPr>
          <w:b/>
          <w:bCs/>
        </w:rPr>
      </w:pPr>
    </w:p>
    <w:p w14:paraId="186D3D88" w14:textId="77777777" w:rsidR="001C4787" w:rsidRDefault="001C4787" w:rsidP="009D08F4">
      <w:pPr>
        <w:tabs>
          <w:tab w:val="left" w:pos="2912"/>
        </w:tabs>
        <w:rPr>
          <w:b/>
          <w:bCs/>
        </w:rPr>
      </w:pPr>
    </w:p>
    <w:p w14:paraId="350763A3" w14:textId="77777777" w:rsidR="001C4787" w:rsidRDefault="001C4787" w:rsidP="009D08F4">
      <w:pPr>
        <w:tabs>
          <w:tab w:val="left" w:pos="2912"/>
        </w:tabs>
        <w:rPr>
          <w:b/>
          <w:bCs/>
        </w:rPr>
      </w:pPr>
    </w:p>
    <w:p w14:paraId="7418AFFB" w14:textId="77777777" w:rsidR="001C4787" w:rsidRDefault="001C4787" w:rsidP="009D08F4">
      <w:pPr>
        <w:tabs>
          <w:tab w:val="left" w:pos="2912"/>
        </w:tabs>
        <w:rPr>
          <w:b/>
          <w:bCs/>
        </w:rPr>
      </w:pPr>
    </w:p>
    <w:p w14:paraId="6D9B432A" w14:textId="77777777" w:rsidR="001C4787" w:rsidRDefault="001C4787" w:rsidP="009D08F4">
      <w:pPr>
        <w:tabs>
          <w:tab w:val="left" w:pos="2912"/>
        </w:tabs>
        <w:rPr>
          <w:b/>
          <w:bCs/>
        </w:rPr>
      </w:pPr>
    </w:p>
    <w:p w14:paraId="76688B3D" w14:textId="77777777" w:rsidR="001C4787" w:rsidRDefault="001C4787" w:rsidP="009D08F4">
      <w:pPr>
        <w:tabs>
          <w:tab w:val="left" w:pos="2912"/>
        </w:tabs>
        <w:rPr>
          <w:b/>
          <w:bCs/>
        </w:rPr>
      </w:pPr>
    </w:p>
    <w:p w14:paraId="7DE176DD" w14:textId="77777777" w:rsidR="004730CD" w:rsidRPr="003B2985" w:rsidRDefault="004730CD" w:rsidP="004730CD">
      <w:pPr>
        <w:tabs>
          <w:tab w:val="left" w:pos="2912"/>
        </w:tabs>
        <w:rPr>
          <w:b/>
          <w:bCs/>
          <w:sz w:val="20"/>
          <w:szCs w:val="20"/>
        </w:rPr>
      </w:pPr>
      <w:r w:rsidRPr="003B2985">
        <w:rPr>
          <w:b/>
          <w:bCs/>
          <w:sz w:val="20"/>
          <w:szCs w:val="20"/>
        </w:rPr>
        <w:lastRenderedPageBreak/>
        <w:t xml:space="preserve">ARMAZENAMENTO </w:t>
      </w:r>
    </w:p>
    <w:p w14:paraId="4D9A052E" w14:textId="77777777" w:rsidR="004730CD" w:rsidRPr="003B2985" w:rsidRDefault="004730CD" w:rsidP="004730CD">
      <w:pPr>
        <w:tabs>
          <w:tab w:val="left" w:pos="2912"/>
        </w:tabs>
        <w:rPr>
          <w:sz w:val="20"/>
          <w:szCs w:val="20"/>
        </w:rPr>
      </w:pPr>
      <w:r w:rsidRPr="003B2985">
        <w:rPr>
          <w:sz w:val="20"/>
          <w:szCs w:val="20"/>
        </w:rPr>
        <w:t>Armazenar a embalagem em local coberto, fresco, ventilado e manter fora do alcance de crianças e animais. Manter o ambiente ventilado durante aplicação e secagem.</w:t>
      </w:r>
    </w:p>
    <w:p w14:paraId="69AE2AE4" w14:textId="77777777" w:rsidR="009D08F4" w:rsidRPr="003B2985" w:rsidRDefault="009D08F4" w:rsidP="009D08F4">
      <w:pPr>
        <w:tabs>
          <w:tab w:val="left" w:pos="2912"/>
        </w:tabs>
        <w:rPr>
          <w:sz w:val="20"/>
          <w:szCs w:val="20"/>
        </w:rPr>
      </w:pPr>
    </w:p>
    <w:p w14:paraId="6E2346B2" w14:textId="77777777" w:rsidR="004730CD" w:rsidRPr="003B2985" w:rsidRDefault="004730CD" w:rsidP="004730CD">
      <w:pPr>
        <w:jc w:val="both"/>
        <w:rPr>
          <w:sz w:val="20"/>
          <w:szCs w:val="20"/>
        </w:rPr>
      </w:pPr>
      <w:r w:rsidRPr="003B2985">
        <w:rPr>
          <w:b/>
          <w:bCs/>
          <w:sz w:val="20"/>
          <w:szCs w:val="20"/>
        </w:rPr>
        <w:t xml:space="preserve">PREPARAÇÃO DA </w:t>
      </w:r>
      <w:proofErr w:type="gramStart"/>
      <w:r w:rsidRPr="003B2985">
        <w:rPr>
          <w:b/>
          <w:bCs/>
          <w:sz w:val="20"/>
          <w:szCs w:val="20"/>
        </w:rPr>
        <w:t>SUPERFÍCIE</w:t>
      </w:r>
      <w:r w:rsidRPr="003B2985">
        <w:rPr>
          <w:sz w:val="20"/>
          <w:szCs w:val="20"/>
        </w:rPr>
        <w:t>(</w:t>
      </w:r>
      <w:proofErr w:type="gramEnd"/>
      <w:r w:rsidRPr="003B2985">
        <w:rPr>
          <w:sz w:val="20"/>
          <w:szCs w:val="20"/>
        </w:rPr>
        <w:t>ABNT – NBR 13.245 – 06/2011)</w:t>
      </w:r>
    </w:p>
    <w:p w14:paraId="5A5C00DD" w14:textId="77777777" w:rsidR="004730CD" w:rsidRPr="003B2985" w:rsidRDefault="004730CD" w:rsidP="004730CD">
      <w:pPr>
        <w:jc w:val="both"/>
        <w:rPr>
          <w:sz w:val="20"/>
          <w:szCs w:val="20"/>
        </w:rPr>
      </w:pPr>
      <w:r w:rsidRPr="003B2985">
        <w:rPr>
          <w:sz w:val="20"/>
          <w:szCs w:val="20"/>
        </w:rPr>
        <w:t xml:space="preserve">O primeiro passo é corrigir as imperfeições maiores do reboco com massa de reboco sem cal. Aguarde a cura total por, no mínimo, 24 horas. Não aplique em períodos de chuva ou com alta umidade no ambiente. Evite a aplicação em temperaturas abaixo de 10 °C ou acima de 38 °C. Até 72 horas após a aplicação, pingos de chuva podem provocar manchas, bolhas ou </w:t>
      </w:r>
      <w:proofErr w:type="spellStart"/>
      <w:r w:rsidRPr="003B2985">
        <w:rPr>
          <w:sz w:val="20"/>
          <w:szCs w:val="20"/>
        </w:rPr>
        <w:t>desplacamento</w:t>
      </w:r>
      <w:proofErr w:type="spellEnd"/>
      <w:r w:rsidRPr="003B2985">
        <w:rPr>
          <w:sz w:val="20"/>
          <w:szCs w:val="20"/>
        </w:rPr>
        <w:t>.</w:t>
      </w:r>
    </w:p>
    <w:p w14:paraId="169A1533" w14:textId="77777777" w:rsidR="004730CD" w:rsidRPr="003B2985" w:rsidRDefault="004730CD" w:rsidP="004730CD">
      <w:pPr>
        <w:jc w:val="both"/>
        <w:rPr>
          <w:sz w:val="20"/>
          <w:szCs w:val="20"/>
        </w:rPr>
      </w:pPr>
      <w:r w:rsidRPr="003B2985">
        <w:rPr>
          <w:b/>
          <w:bCs/>
          <w:sz w:val="20"/>
          <w:szCs w:val="20"/>
        </w:rPr>
        <w:t>Remoção de pó, sujeira e partes mal aderidas:</w:t>
      </w:r>
      <w:r w:rsidRPr="003B2985">
        <w:rPr>
          <w:sz w:val="20"/>
          <w:szCs w:val="20"/>
        </w:rPr>
        <w:t xml:space="preserve"> utilize uma lixa grana 80, escova de aço, espátula ou vassoura para remover todas as partes soltas da superfície. Manchas de terra, graxa, gordura ou desmoldante devem ser removidas com água e detergente neutro. Fungos e mofos devem ser eliminados mecanicamente, por escovação, utilizando solução de </w:t>
      </w:r>
      <w:r w:rsidRPr="003B2985">
        <w:rPr>
          <w:b/>
          <w:bCs/>
          <w:sz w:val="20"/>
          <w:szCs w:val="20"/>
        </w:rPr>
        <w:t>DELCOR® Sanitizante</w:t>
      </w:r>
      <w:r w:rsidRPr="003B2985">
        <w:rPr>
          <w:sz w:val="20"/>
          <w:szCs w:val="20"/>
        </w:rPr>
        <w:t>.</w:t>
      </w:r>
    </w:p>
    <w:p w14:paraId="302C031F" w14:textId="55CD0244" w:rsidR="004730CD" w:rsidRDefault="004730CD" w:rsidP="004730CD">
      <w:pPr>
        <w:jc w:val="both"/>
        <w:rPr>
          <w:sz w:val="20"/>
          <w:szCs w:val="20"/>
        </w:rPr>
      </w:pPr>
      <w:r w:rsidRPr="003B2985">
        <w:rPr>
          <w:b/>
          <w:bCs/>
          <w:sz w:val="20"/>
          <w:szCs w:val="20"/>
        </w:rPr>
        <w:t>Isolamento químico e preparação técnica:</w:t>
      </w:r>
      <w:r w:rsidRPr="003B2985">
        <w:rPr>
          <w:sz w:val="20"/>
          <w:szCs w:val="20"/>
        </w:rPr>
        <w:t xml:space="preserve"> isole produtos químicos sujeitos a reação, como desmoldantes, utilizando o </w:t>
      </w:r>
      <w:r w:rsidRPr="003B2985">
        <w:rPr>
          <w:b/>
          <w:bCs/>
          <w:sz w:val="20"/>
          <w:szCs w:val="20"/>
        </w:rPr>
        <w:t>Fundo Preparador BRILVINIL® Premium</w:t>
      </w:r>
      <w:r w:rsidRPr="003B2985">
        <w:rPr>
          <w:sz w:val="20"/>
          <w:szCs w:val="20"/>
        </w:rPr>
        <w:t>, à base de solvente ou água. Em paredes já impermeabilizadas com produtos elastoméricos para fachada, que reduzem total ou parcialmente a permeabilidade da superfície, lixe bem e remova o pó. Caso essa etapa seja negligenciada, pode ocorrer a desagregação da tinta, tanto em tempo seco quanto em contato com a água.</w:t>
      </w:r>
    </w:p>
    <w:p w14:paraId="34DCD64E" w14:textId="77777777" w:rsidR="003B2985" w:rsidRPr="003B2985" w:rsidRDefault="003B2985" w:rsidP="004730CD">
      <w:pPr>
        <w:jc w:val="both"/>
        <w:rPr>
          <w:sz w:val="20"/>
          <w:szCs w:val="20"/>
        </w:rPr>
      </w:pPr>
    </w:p>
    <w:p w14:paraId="23807B94" w14:textId="17163286" w:rsidR="004730CD" w:rsidRDefault="004730CD" w:rsidP="004730CD">
      <w:pPr>
        <w:jc w:val="both"/>
        <w:rPr>
          <w:sz w:val="20"/>
          <w:szCs w:val="20"/>
        </w:rPr>
      </w:pPr>
      <w:r w:rsidRPr="003B2985">
        <w:rPr>
          <w:sz w:val="20"/>
          <w:szCs w:val="20"/>
        </w:rPr>
        <w:t>É necessário instalar rodapés antes da aplicação, para delimitar o contato da tinta com o solo, especialmente em áreas não pavimentadas. Verifique se os rejuntes estão devidamente aplicados, a fim de evitar infiltrações. Instale calhas, rufos e/ou pingadeiras, garantindo que estejam corretamente fixados e rejuntados, de forma a impedir totalmente a passagem de água. Em caso de lajes expostas, recomenda-se impermeabilizá-las antes da aplicação da tinta.</w:t>
      </w:r>
    </w:p>
    <w:p w14:paraId="499CFD65" w14:textId="77777777" w:rsidR="003B2985" w:rsidRPr="003B2985" w:rsidRDefault="003B2985" w:rsidP="004730CD">
      <w:pPr>
        <w:jc w:val="both"/>
        <w:rPr>
          <w:sz w:val="20"/>
          <w:szCs w:val="20"/>
        </w:rPr>
      </w:pPr>
    </w:p>
    <w:p w14:paraId="1311A2E7" w14:textId="77777777" w:rsidR="004730CD" w:rsidRPr="003B2985" w:rsidRDefault="004730CD" w:rsidP="004730CD">
      <w:pPr>
        <w:jc w:val="both"/>
        <w:rPr>
          <w:sz w:val="20"/>
          <w:szCs w:val="20"/>
        </w:rPr>
      </w:pPr>
      <w:r w:rsidRPr="003B2985">
        <w:rPr>
          <w:sz w:val="20"/>
          <w:szCs w:val="20"/>
        </w:rPr>
        <w:t xml:space="preserve">Superfícies com marcas de reparos em reboco, argamassa, gesso, impermeabilizantes (à base de resina acrílica, asfáltica ou elastomérica — cimentícia ou não), desmoldantes, união de parede nova com antiga e emendas de reboco devem ser niveladas com </w:t>
      </w:r>
      <w:r w:rsidRPr="003B2985">
        <w:rPr>
          <w:b/>
          <w:bCs/>
          <w:sz w:val="20"/>
          <w:szCs w:val="20"/>
        </w:rPr>
        <w:t>Massa Regularizadora BRILVINIL®</w:t>
      </w:r>
      <w:r w:rsidRPr="003B2985">
        <w:rPr>
          <w:sz w:val="20"/>
          <w:szCs w:val="20"/>
        </w:rPr>
        <w:t xml:space="preserve">, seguida da reaplicação do </w:t>
      </w:r>
      <w:r w:rsidRPr="003B2985">
        <w:rPr>
          <w:b/>
          <w:bCs/>
          <w:sz w:val="20"/>
          <w:szCs w:val="20"/>
        </w:rPr>
        <w:t>Fundo Preparador BRILVINIL®</w:t>
      </w:r>
      <w:r w:rsidRPr="003B2985">
        <w:rPr>
          <w:sz w:val="20"/>
          <w:szCs w:val="20"/>
        </w:rPr>
        <w:t>.</w:t>
      </w:r>
    </w:p>
    <w:p w14:paraId="5CDB9254" w14:textId="77777777" w:rsidR="004730CD" w:rsidRPr="003B2985" w:rsidRDefault="004730CD" w:rsidP="009D08F4">
      <w:pPr>
        <w:tabs>
          <w:tab w:val="left" w:pos="2912"/>
        </w:tabs>
        <w:rPr>
          <w:b/>
          <w:bCs/>
          <w:sz w:val="20"/>
          <w:szCs w:val="20"/>
        </w:rPr>
      </w:pPr>
    </w:p>
    <w:p w14:paraId="08C1A7A1" w14:textId="77777777" w:rsidR="004730CD" w:rsidRPr="003B2985" w:rsidRDefault="004730CD" w:rsidP="004730CD">
      <w:pPr>
        <w:tabs>
          <w:tab w:val="left" w:pos="2912"/>
        </w:tabs>
        <w:rPr>
          <w:b/>
          <w:bCs/>
          <w:sz w:val="20"/>
          <w:szCs w:val="20"/>
        </w:rPr>
      </w:pPr>
      <w:r w:rsidRPr="003B2985">
        <w:rPr>
          <w:b/>
          <w:bCs/>
          <w:sz w:val="20"/>
          <w:szCs w:val="20"/>
        </w:rPr>
        <w:t>PRECAUÇÕES</w:t>
      </w:r>
    </w:p>
    <w:p w14:paraId="0848724E" w14:textId="77777777" w:rsidR="004730CD" w:rsidRPr="003B2985" w:rsidRDefault="004730CD" w:rsidP="004730CD">
      <w:pPr>
        <w:tabs>
          <w:tab w:val="left" w:pos="2912"/>
        </w:tabs>
        <w:rPr>
          <w:sz w:val="20"/>
          <w:szCs w:val="20"/>
        </w:rPr>
      </w:pPr>
      <w:r w:rsidRPr="003B2985">
        <w:rPr>
          <w:sz w:val="20"/>
          <w:szCs w:val="20"/>
        </w:rPr>
        <w:t>Manter as embalagens fechadas, fora do alcance de crianças, animais e longe de fontes de calor. Armazenar em local coberto, fresco, seco e ventilado. A embalagem não deve ser incinerada ou reutilizada. Não ingerir. Em caso de contato com os olhos ou pele, lave-os com água corrente em abundância por 15 minutos. Se ingerido não provoque vômito e procure auxílio médico informando o tipo de produto.</w:t>
      </w:r>
    </w:p>
    <w:p w14:paraId="2FB1982E" w14:textId="77777777" w:rsidR="009D08F4" w:rsidRPr="003B2985" w:rsidRDefault="009D08F4" w:rsidP="009D08F4">
      <w:pPr>
        <w:tabs>
          <w:tab w:val="left" w:pos="2912"/>
        </w:tabs>
        <w:rPr>
          <w:b/>
          <w:bCs/>
          <w:sz w:val="20"/>
          <w:szCs w:val="20"/>
        </w:rPr>
      </w:pPr>
    </w:p>
    <w:p w14:paraId="4B27F174" w14:textId="77777777" w:rsidR="009D08F4" w:rsidRPr="003B2985" w:rsidRDefault="009D08F4" w:rsidP="009D08F4">
      <w:pPr>
        <w:tabs>
          <w:tab w:val="left" w:pos="2912"/>
        </w:tabs>
        <w:rPr>
          <w:b/>
          <w:bCs/>
          <w:sz w:val="20"/>
          <w:szCs w:val="20"/>
        </w:rPr>
      </w:pPr>
      <w:r w:rsidRPr="003B2985">
        <w:rPr>
          <w:b/>
          <w:bCs/>
          <w:sz w:val="20"/>
          <w:szCs w:val="20"/>
        </w:rPr>
        <w:t>CUIDADOS</w:t>
      </w:r>
    </w:p>
    <w:p w14:paraId="5666D9B0" w14:textId="77777777" w:rsidR="009D08F4" w:rsidRPr="003B2985" w:rsidRDefault="009D08F4" w:rsidP="009D08F4">
      <w:pPr>
        <w:tabs>
          <w:tab w:val="left" w:pos="2912"/>
        </w:tabs>
        <w:rPr>
          <w:sz w:val="20"/>
          <w:szCs w:val="20"/>
        </w:rPr>
      </w:pPr>
      <w:r w:rsidRPr="003B2985">
        <w:rPr>
          <w:sz w:val="20"/>
          <w:szCs w:val="20"/>
        </w:rPr>
        <w:t>Em caso de contato com a pele e olhos, lave-os com água em abundância. Nos casos de irritação da pele, olhos, alteração nas vias respiratórias ou ingestão (não provoque vômito), procure auxílio médico, informando o tipo de produto.</w:t>
      </w:r>
    </w:p>
    <w:p w14:paraId="42BA1A04" w14:textId="77777777" w:rsidR="009D08F4" w:rsidRPr="003B2985" w:rsidRDefault="009D08F4" w:rsidP="009D08F4">
      <w:pPr>
        <w:tabs>
          <w:tab w:val="left" w:pos="2912"/>
        </w:tabs>
        <w:rPr>
          <w:sz w:val="20"/>
          <w:szCs w:val="20"/>
        </w:rPr>
      </w:pPr>
      <w:r w:rsidRPr="003B2985">
        <w:rPr>
          <w:sz w:val="20"/>
          <w:szCs w:val="20"/>
        </w:rPr>
        <w:t xml:space="preserve">Para mais detalhes, consulte a ficha de informação de segurança de produto químico – FISPQ (disponível no site). </w:t>
      </w:r>
    </w:p>
    <w:p w14:paraId="7884E690" w14:textId="77777777" w:rsidR="009D08F4" w:rsidRPr="003B2985" w:rsidRDefault="009D08F4" w:rsidP="009D08F4">
      <w:pPr>
        <w:tabs>
          <w:tab w:val="left" w:pos="2912"/>
        </w:tabs>
        <w:rPr>
          <w:sz w:val="20"/>
          <w:szCs w:val="20"/>
        </w:rPr>
      </w:pPr>
      <w:r w:rsidRPr="003B2985">
        <w:rPr>
          <w:sz w:val="20"/>
          <w:szCs w:val="20"/>
        </w:rPr>
        <w:t>Emergência médica (24 horas): CEATOX – Centro Médico de Assistência Toxicológica: 0800 14 81 10.</w:t>
      </w:r>
    </w:p>
    <w:p w14:paraId="1D8E1DB9" w14:textId="77777777" w:rsidR="009D08F4" w:rsidRPr="003B2985" w:rsidRDefault="009D08F4" w:rsidP="009D08F4">
      <w:pPr>
        <w:tabs>
          <w:tab w:val="left" w:pos="2912"/>
        </w:tabs>
        <w:rPr>
          <w:sz w:val="20"/>
          <w:szCs w:val="20"/>
        </w:rPr>
      </w:pPr>
      <w:r w:rsidRPr="003B2985">
        <w:rPr>
          <w:sz w:val="20"/>
          <w:szCs w:val="20"/>
        </w:rPr>
        <w:t>Emergências em caso de acidentes no transporte (24 horas): 0800 19 22 74</w:t>
      </w:r>
    </w:p>
    <w:p w14:paraId="7016FBF9" w14:textId="77777777" w:rsidR="009D08F4" w:rsidRPr="003B2985" w:rsidRDefault="009D08F4" w:rsidP="009D08F4">
      <w:pPr>
        <w:tabs>
          <w:tab w:val="left" w:pos="2912"/>
        </w:tabs>
        <w:rPr>
          <w:sz w:val="20"/>
          <w:szCs w:val="20"/>
        </w:rPr>
      </w:pPr>
    </w:p>
    <w:p w14:paraId="3CCD8162" w14:textId="77777777" w:rsidR="009D08F4" w:rsidRPr="003B2985" w:rsidRDefault="009D08F4" w:rsidP="009D08F4">
      <w:pPr>
        <w:tabs>
          <w:tab w:val="left" w:pos="2912"/>
        </w:tabs>
        <w:rPr>
          <w:sz w:val="20"/>
          <w:szCs w:val="20"/>
        </w:rPr>
      </w:pPr>
      <w:r w:rsidRPr="003B2985">
        <w:rPr>
          <w:sz w:val="20"/>
          <w:szCs w:val="20"/>
        </w:rPr>
        <w:t>--</w:t>
      </w:r>
    </w:p>
    <w:p w14:paraId="32E9653E" w14:textId="77777777" w:rsidR="009D08F4" w:rsidRPr="003B2985" w:rsidRDefault="009D08F4" w:rsidP="009D08F4">
      <w:pPr>
        <w:tabs>
          <w:tab w:val="left" w:pos="2912"/>
        </w:tabs>
        <w:rPr>
          <w:sz w:val="20"/>
          <w:szCs w:val="20"/>
        </w:rPr>
      </w:pPr>
    </w:p>
    <w:p w14:paraId="3EDDD0CB" w14:textId="77777777" w:rsidR="009D08F4" w:rsidRPr="003B2985" w:rsidRDefault="009D08F4" w:rsidP="009D08F4">
      <w:pPr>
        <w:tabs>
          <w:tab w:val="left" w:pos="2912"/>
        </w:tabs>
        <w:rPr>
          <w:b/>
          <w:bCs/>
          <w:sz w:val="20"/>
          <w:szCs w:val="20"/>
        </w:rPr>
      </w:pPr>
      <w:r w:rsidRPr="003B2985">
        <w:rPr>
          <w:b/>
          <w:bCs/>
          <w:sz w:val="20"/>
          <w:szCs w:val="20"/>
        </w:rPr>
        <w:t>Produzido por:</w:t>
      </w:r>
    </w:p>
    <w:p w14:paraId="5E9FCA58" w14:textId="77777777" w:rsidR="009D08F4" w:rsidRPr="003B2985" w:rsidRDefault="009D08F4" w:rsidP="009D08F4">
      <w:pPr>
        <w:tabs>
          <w:tab w:val="left" w:pos="2912"/>
        </w:tabs>
        <w:rPr>
          <w:sz w:val="20"/>
          <w:szCs w:val="20"/>
        </w:rPr>
      </w:pPr>
      <w:r w:rsidRPr="003B2985">
        <w:rPr>
          <w:sz w:val="20"/>
          <w:szCs w:val="20"/>
        </w:rPr>
        <w:t>CNPJ 37.655.461/0003-74</w:t>
      </w:r>
    </w:p>
    <w:p w14:paraId="33228090" w14:textId="77777777" w:rsidR="009D08F4" w:rsidRPr="003B2985" w:rsidRDefault="009D08F4" w:rsidP="009D08F4">
      <w:pPr>
        <w:tabs>
          <w:tab w:val="left" w:pos="2912"/>
        </w:tabs>
        <w:rPr>
          <w:sz w:val="20"/>
          <w:szCs w:val="20"/>
        </w:rPr>
      </w:pPr>
      <w:r w:rsidRPr="003B2985">
        <w:rPr>
          <w:sz w:val="20"/>
          <w:szCs w:val="20"/>
        </w:rPr>
        <w:t xml:space="preserve">Químico responsável: </w:t>
      </w:r>
    </w:p>
    <w:p w14:paraId="4DAAF20C" w14:textId="77777777" w:rsidR="009D08F4" w:rsidRPr="003B2985" w:rsidRDefault="009D08F4" w:rsidP="009D08F4">
      <w:pPr>
        <w:tabs>
          <w:tab w:val="left" w:pos="2912"/>
        </w:tabs>
        <w:rPr>
          <w:sz w:val="20"/>
          <w:szCs w:val="20"/>
        </w:rPr>
      </w:pPr>
      <w:r w:rsidRPr="003B2985">
        <w:rPr>
          <w:sz w:val="20"/>
          <w:szCs w:val="20"/>
        </w:rPr>
        <w:t xml:space="preserve">Nicolas </w:t>
      </w:r>
      <w:proofErr w:type="spellStart"/>
      <w:r w:rsidRPr="003B2985">
        <w:rPr>
          <w:sz w:val="20"/>
          <w:szCs w:val="20"/>
        </w:rPr>
        <w:t>Blasquez</w:t>
      </w:r>
      <w:proofErr w:type="spellEnd"/>
      <w:r w:rsidRPr="003B2985">
        <w:rPr>
          <w:sz w:val="20"/>
          <w:szCs w:val="20"/>
        </w:rPr>
        <w:t xml:space="preserve"> Trigo - CRQ: 12201476 - VII Região</w:t>
      </w:r>
    </w:p>
    <w:p w14:paraId="3214991E" w14:textId="77777777" w:rsidR="009D08F4" w:rsidRPr="003B2985" w:rsidRDefault="009D08F4" w:rsidP="009D08F4">
      <w:pPr>
        <w:tabs>
          <w:tab w:val="left" w:pos="2912"/>
        </w:tabs>
        <w:rPr>
          <w:sz w:val="20"/>
          <w:szCs w:val="20"/>
        </w:rPr>
      </w:pPr>
    </w:p>
    <w:p w14:paraId="5B42D6CF" w14:textId="77777777" w:rsidR="009D08F4" w:rsidRPr="003B2985" w:rsidRDefault="009D08F4" w:rsidP="009D08F4">
      <w:pPr>
        <w:tabs>
          <w:tab w:val="left" w:pos="2912"/>
        </w:tabs>
        <w:rPr>
          <w:sz w:val="20"/>
          <w:szCs w:val="20"/>
        </w:rPr>
      </w:pPr>
      <w:r w:rsidRPr="003B2985">
        <w:rPr>
          <w:sz w:val="20"/>
          <w:szCs w:val="20"/>
        </w:rPr>
        <w:t>CNPJ 18.286.754/0001-15</w:t>
      </w:r>
    </w:p>
    <w:p w14:paraId="2E37A4E8" w14:textId="77777777" w:rsidR="009D08F4" w:rsidRPr="003B2985" w:rsidRDefault="009D08F4" w:rsidP="009D08F4">
      <w:pPr>
        <w:tabs>
          <w:tab w:val="left" w:pos="2912"/>
        </w:tabs>
        <w:rPr>
          <w:sz w:val="20"/>
          <w:szCs w:val="20"/>
        </w:rPr>
      </w:pPr>
      <w:r w:rsidRPr="003B2985">
        <w:rPr>
          <w:sz w:val="20"/>
          <w:szCs w:val="20"/>
        </w:rPr>
        <w:t xml:space="preserve">Químico responsável: </w:t>
      </w:r>
    </w:p>
    <w:p w14:paraId="27BE2CBA" w14:textId="77777777" w:rsidR="009D08F4" w:rsidRPr="003B2985" w:rsidRDefault="009D08F4" w:rsidP="009D08F4">
      <w:pPr>
        <w:tabs>
          <w:tab w:val="left" w:pos="2912"/>
        </w:tabs>
        <w:rPr>
          <w:sz w:val="20"/>
          <w:szCs w:val="20"/>
        </w:rPr>
      </w:pPr>
      <w:r w:rsidRPr="003B2985">
        <w:rPr>
          <w:sz w:val="20"/>
          <w:szCs w:val="20"/>
        </w:rPr>
        <w:t xml:space="preserve">Nicolas </w:t>
      </w:r>
      <w:proofErr w:type="spellStart"/>
      <w:r w:rsidRPr="003B2985">
        <w:rPr>
          <w:sz w:val="20"/>
          <w:szCs w:val="20"/>
        </w:rPr>
        <w:t>Blasquez</w:t>
      </w:r>
      <w:proofErr w:type="spellEnd"/>
      <w:r w:rsidRPr="003B2985">
        <w:rPr>
          <w:sz w:val="20"/>
          <w:szCs w:val="20"/>
        </w:rPr>
        <w:t xml:space="preserve"> Trigo - CRQ: 12201476 - XII Região</w:t>
      </w:r>
    </w:p>
    <w:p w14:paraId="45C6AA3F" w14:textId="77777777" w:rsidR="009D08F4" w:rsidRPr="003B2985" w:rsidRDefault="009D08F4" w:rsidP="009D08F4">
      <w:pPr>
        <w:tabs>
          <w:tab w:val="left" w:pos="2912"/>
        </w:tabs>
        <w:rPr>
          <w:sz w:val="20"/>
          <w:szCs w:val="20"/>
        </w:rPr>
      </w:pPr>
    </w:p>
    <w:p w14:paraId="717E0215" w14:textId="77777777" w:rsidR="009D08F4" w:rsidRPr="003B2985" w:rsidRDefault="009D08F4" w:rsidP="009D08F4">
      <w:pPr>
        <w:tabs>
          <w:tab w:val="left" w:pos="2912"/>
        </w:tabs>
        <w:rPr>
          <w:sz w:val="20"/>
          <w:szCs w:val="20"/>
        </w:rPr>
      </w:pPr>
      <w:r w:rsidRPr="003B2985">
        <w:rPr>
          <w:sz w:val="20"/>
          <w:szCs w:val="20"/>
        </w:rPr>
        <w:t>CNPJ 42.500.489/0001-00</w:t>
      </w:r>
    </w:p>
    <w:p w14:paraId="0A22DF9C" w14:textId="77777777" w:rsidR="009D08F4" w:rsidRPr="003B2985" w:rsidRDefault="009D08F4" w:rsidP="009D08F4">
      <w:pPr>
        <w:tabs>
          <w:tab w:val="left" w:pos="2912"/>
        </w:tabs>
        <w:rPr>
          <w:sz w:val="20"/>
          <w:szCs w:val="20"/>
        </w:rPr>
      </w:pPr>
      <w:r w:rsidRPr="003B2985">
        <w:rPr>
          <w:sz w:val="20"/>
          <w:szCs w:val="20"/>
        </w:rPr>
        <w:t xml:space="preserve">Químico responsável: </w:t>
      </w:r>
    </w:p>
    <w:p w14:paraId="76E92070" w14:textId="77777777" w:rsidR="009D08F4" w:rsidRPr="003B2985" w:rsidRDefault="009D08F4" w:rsidP="009D08F4">
      <w:pPr>
        <w:tabs>
          <w:tab w:val="left" w:pos="2912"/>
        </w:tabs>
        <w:rPr>
          <w:sz w:val="20"/>
          <w:szCs w:val="20"/>
        </w:rPr>
      </w:pPr>
      <w:r w:rsidRPr="003B2985">
        <w:rPr>
          <w:sz w:val="20"/>
          <w:szCs w:val="20"/>
        </w:rPr>
        <w:t xml:space="preserve">Nicolas </w:t>
      </w:r>
      <w:proofErr w:type="spellStart"/>
      <w:r w:rsidRPr="003B2985">
        <w:rPr>
          <w:sz w:val="20"/>
          <w:szCs w:val="20"/>
        </w:rPr>
        <w:t>Blasquez</w:t>
      </w:r>
      <w:proofErr w:type="spellEnd"/>
      <w:r w:rsidRPr="003B2985">
        <w:rPr>
          <w:sz w:val="20"/>
          <w:szCs w:val="20"/>
        </w:rPr>
        <w:t xml:space="preserve"> Trigo - CRQ: 12201476 - XII Região</w:t>
      </w:r>
    </w:p>
    <w:p w14:paraId="688E4E70" w14:textId="77777777" w:rsidR="009D08F4" w:rsidRPr="003B2985" w:rsidRDefault="009D08F4" w:rsidP="009D08F4">
      <w:pPr>
        <w:tabs>
          <w:tab w:val="left" w:pos="2912"/>
        </w:tabs>
        <w:rPr>
          <w:sz w:val="20"/>
          <w:szCs w:val="20"/>
        </w:rPr>
      </w:pPr>
    </w:p>
    <w:p w14:paraId="3664124E" w14:textId="77777777" w:rsidR="009D08F4" w:rsidRPr="003B2985" w:rsidRDefault="009D08F4" w:rsidP="009D08F4">
      <w:pPr>
        <w:tabs>
          <w:tab w:val="left" w:pos="2912"/>
        </w:tabs>
        <w:rPr>
          <w:sz w:val="20"/>
          <w:szCs w:val="20"/>
        </w:rPr>
      </w:pPr>
      <w:r w:rsidRPr="003B2985">
        <w:rPr>
          <w:sz w:val="20"/>
          <w:szCs w:val="20"/>
        </w:rPr>
        <w:t>BRILVINIL®</w:t>
      </w:r>
    </w:p>
    <w:p w14:paraId="381EF83A" w14:textId="77777777" w:rsidR="009D08F4" w:rsidRPr="003B2985" w:rsidRDefault="009D08F4" w:rsidP="009D08F4">
      <w:pPr>
        <w:rPr>
          <w:sz w:val="20"/>
          <w:szCs w:val="20"/>
        </w:rPr>
      </w:pPr>
      <w:r w:rsidRPr="003B2985">
        <w:rPr>
          <w:sz w:val="20"/>
          <w:szCs w:val="20"/>
        </w:rPr>
        <w:t xml:space="preserve">(61) 3585.8580 </w:t>
      </w:r>
    </w:p>
    <w:p w14:paraId="1725A443" w14:textId="77777777" w:rsidR="009D08F4" w:rsidRPr="003B2985" w:rsidRDefault="009D08F4" w:rsidP="009D08F4">
      <w:pPr>
        <w:rPr>
          <w:sz w:val="20"/>
          <w:szCs w:val="20"/>
        </w:rPr>
      </w:pPr>
      <w:r w:rsidRPr="003B2985">
        <w:rPr>
          <w:sz w:val="20"/>
          <w:szCs w:val="20"/>
        </w:rPr>
        <w:t>(71) 99181-2462</w:t>
      </w:r>
    </w:p>
    <w:p w14:paraId="1A1B53FE" w14:textId="77777777" w:rsidR="009D08F4" w:rsidRPr="003B2985" w:rsidRDefault="007A64EA" w:rsidP="009D08F4">
      <w:pPr>
        <w:rPr>
          <w:sz w:val="20"/>
          <w:szCs w:val="20"/>
        </w:rPr>
      </w:pPr>
      <w:hyperlink r:id="rId4" w:history="1">
        <w:r w:rsidR="009D08F4" w:rsidRPr="003B2985">
          <w:rPr>
            <w:rStyle w:val="Hyperlink"/>
            <w:sz w:val="20"/>
            <w:szCs w:val="20"/>
          </w:rPr>
          <w:t>SAC@BRILVINIL.COM.BR</w:t>
        </w:r>
      </w:hyperlink>
    </w:p>
    <w:p w14:paraId="2571ECD9" w14:textId="77777777" w:rsidR="009D08F4" w:rsidRPr="003B2985" w:rsidRDefault="009D08F4" w:rsidP="009D08F4">
      <w:pPr>
        <w:rPr>
          <w:sz w:val="20"/>
          <w:szCs w:val="20"/>
        </w:rPr>
      </w:pPr>
      <w:r w:rsidRPr="003B2985">
        <w:rPr>
          <w:sz w:val="20"/>
          <w:szCs w:val="20"/>
        </w:rPr>
        <w:t>www.brilvinil.com.br</w:t>
      </w:r>
    </w:p>
    <w:p w14:paraId="1E9815CE" w14:textId="77777777" w:rsidR="0096006A" w:rsidRDefault="0096006A" w:rsidP="008503BF"/>
    <w:sectPr w:rsidR="0096006A" w:rsidSect="00B813F2">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3FF"/>
    <w:rsid w:val="0001410C"/>
    <w:rsid w:val="000C5DA8"/>
    <w:rsid w:val="000F7888"/>
    <w:rsid w:val="00106D68"/>
    <w:rsid w:val="00126050"/>
    <w:rsid w:val="001C4787"/>
    <w:rsid w:val="003963FF"/>
    <w:rsid w:val="003B2985"/>
    <w:rsid w:val="004730CD"/>
    <w:rsid w:val="006D051A"/>
    <w:rsid w:val="007761C1"/>
    <w:rsid w:val="007A64EA"/>
    <w:rsid w:val="008503BF"/>
    <w:rsid w:val="00931E05"/>
    <w:rsid w:val="0096006A"/>
    <w:rsid w:val="009D08F4"/>
    <w:rsid w:val="00A57601"/>
    <w:rsid w:val="00B813F2"/>
    <w:rsid w:val="00C6064D"/>
    <w:rsid w:val="00CF7795"/>
    <w:rsid w:val="00D05BEB"/>
    <w:rsid w:val="00D45871"/>
    <w:rsid w:val="00ED608A"/>
    <w:rsid w:val="00FA68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59707"/>
  <w15:chartTrackingRefBased/>
  <w15:docId w15:val="{92591BFD-304E-4E97-A1C7-D505972A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601"/>
    <w:pPr>
      <w:spacing w:after="0" w:line="240" w:lineRule="auto"/>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396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C5DA8"/>
    <w:pPr>
      <w:widowControl w:val="0"/>
      <w:autoSpaceDE w:val="0"/>
      <w:autoSpaceDN w:val="0"/>
    </w:pPr>
    <w:rPr>
      <w:rFonts w:ascii="Tahoma" w:eastAsia="Tahoma" w:hAnsi="Tahoma" w:cs="Tahoma"/>
      <w:sz w:val="22"/>
      <w:szCs w:val="22"/>
      <w:lang w:val="pt-PT"/>
    </w:rPr>
  </w:style>
  <w:style w:type="character" w:styleId="Hyperlink">
    <w:name w:val="Hyperlink"/>
    <w:basedOn w:val="Fontepargpadro"/>
    <w:uiPriority w:val="99"/>
    <w:unhideWhenUsed/>
    <w:rsid w:val="009D08F4"/>
    <w:rPr>
      <w:color w:val="0563C1" w:themeColor="hyperlink"/>
      <w:u w:val="single"/>
    </w:rPr>
  </w:style>
  <w:style w:type="character" w:styleId="Forte">
    <w:name w:val="Strong"/>
    <w:basedOn w:val="Fontepargpadro"/>
    <w:uiPriority w:val="22"/>
    <w:qFormat/>
    <w:rsid w:val="00106D68"/>
    <w:rPr>
      <w:b/>
      <w:bCs/>
    </w:rPr>
  </w:style>
  <w:style w:type="paragraph" w:styleId="SemEspaamento">
    <w:name w:val="No Spacing"/>
    <w:uiPriority w:val="1"/>
    <w:qFormat/>
    <w:rsid w:val="000F7888"/>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68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C@BRILVINIL.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781</Words>
  <Characters>4220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MARCILIO</dc:creator>
  <cp:keywords/>
  <dc:description/>
  <cp:lastModifiedBy>MARCILIO</cp:lastModifiedBy>
  <cp:revision>3</cp:revision>
  <dcterms:created xsi:type="dcterms:W3CDTF">2025-05-16T17:39:00Z</dcterms:created>
  <dcterms:modified xsi:type="dcterms:W3CDTF">2025-05-16T18:07:00Z</dcterms:modified>
</cp:coreProperties>
</file>